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pPr>
      <w:r>
        <w:t xml:space="preserve"/>
      </w:r>
    </w:p>
    <w:p>
      <w:pPr>
        <w:spacing w:after="60" w:before="0"/>
      </w:pPr>
      <w:r>
        <w:rPr>
          <w:rFonts w:ascii="Arial" w:cs="Arial" w:eastAsia="Arial" w:hAnsi="Arial"/>
          <w:b/>
          <w:bCs/>
          <w:caps/>
          <w:color w:val="888888"/>
          <w:sz w:val="18"/>
          <w:szCs w:val="18"/>
        </w:rPr>
        <w:t xml:space="preserve">CADILLAC HERTZ TEAM JOTA</w:t>
      </w:r>
    </w:p>
    <w:p>
      <w:pPr>
        <w:spacing w:after="120" w:before="0"/>
      </w:pPr>
      <w:r>
        <w:rPr>
          <w:rFonts w:ascii="Arial" w:cs="Arial" w:eastAsia="Arial" w:hAnsi="Arial"/>
          <w:b/>
          <w:bCs/>
          <w:color w:val="222222"/>
          <w:sz w:val="40"/>
          <w:szCs w:val="40"/>
        </w:rPr>
        <w:t xml:space="preserve">Environmental Scope Assessment</w:t>
      </w:r>
    </w:p>
    <w:p>
      <w:pPr>
        <w:spacing w:after="80" w:before="0"/>
      </w:pPr>
      <w:r>
        <w:rPr>
          <w:rFonts w:ascii="Arial" w:cs="Arial" w:eastAsia="Arial" w:hAnsi="Arial"/>
          <w:color w:val="666666"/>
          <w:sz w:val="22"/>
          <w:szCs w:val="22"/>
        </w:rPr>
        <w:t xml:space="preserve">FIA Environmental Accreditation Programme — 3-Star Application</w:t>
      </w:r>
    </w:p>
    <w:p>
      <w:pPr>
        <w:spacing w:after="40" w:before="0"/>
      </w:pPr>
      <w:r>
        <w:rPr>
          <w:rFonts w:ascii="Arial" w:cs="Arial" w:eastAsia="Arial" w:hAnsi="Arial"/>
          <w:color w:val="666666"/>
          <w:sz w:val="22"/>
          <w:szCs w:val="22"/>
        </w:rPr>
        <w:t xml:space="preserve">Applicability Assessment: Categories 15 (Noise) and 16 (Air Quality)</w:t>
      </w:r>
    </w:p>
    <w:p>
      <w:pPr>
        <w:spacing w:after="40" w:before="0"/>
      </w:pPr>
      <w:r>
        <w:rPr>
          <w:rFonts w:ascii="Arial" w:cs="Arial" w:eastAsia="Arial" w:hAnsi="Arial"/>
          <w:color w:val="666666"/>
          <w:sz w:val="22"/>
          <w:szCs w:val="22"/>
        </w:rPr>
        <w:t xml:space="preserve">Environmental Feedback &amp; Suggestions Log</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Organisation</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Cadillac Hertz Team JOTA</w:t>
            </w:r>
          </w:p>
        </w:tc>
      </w:tr>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Document Ref.</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ENV-SCOPE-001</w:t>
            </w:r>
          </w:p>
        </w:tc>
      </w:tr>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Version</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1.0</w:t>
            </w:r>
          </w:p>
        </w:tc>
      </w:tr>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Date</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31 March 2026</w:t>
            </w:r>
          </w:p>
        </w:tc>
      </w:tr>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Prepared by</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Tim Rocker, Environmental Champion</w:t>
            </w:r>
          </w:p>
        </w:tc>
      </w:tr>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Reviewed by</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Sam Hignett, Director</w:t>
            </w:r>
          </w:p>
        </w:tc>
      </w:tr>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FIA Standard</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FIA Environmental Accreditation Programme Guidelines (April 2020)</w:t>
            </w:r>
          </w:p>
        </w:tc>
      </w:tr>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Purpose</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To document the applicability assessment for FIA Categories 15 and 16, and to evidence the environmental feedback mechanism in compliance with FIA Category 3 (3-Star level).</w:t>
            </w:r>
          </w:p>
        </w:tc>
      </w:tr>
    </w:tbl>
    <w:p>
      <w:pPr>
        <w:spacing w:after="80" w:before="80"/>
      </w:pPr>
      <w:r>
        <w:t xml:space="preserve"/>
      </w:r>
    </w:p>
    <w:p>
      <w:pPr>
        <w:pBdr>
          <w:bottom w:val="single" w:color="E10600" w:sz="4"/>
        </w:pBdr>
        <w:spacing w:after="100" w:before="320"/>
      </w:pPr>
      <w:r>
        <w:rPr>
          <w:rFonts w:ascii="Arial" w:cs="Arial" w:eastAsia="Arial" w:hAnsi="Arial"/>
          <w:b/>
          <w:bCs/>
          <w:color w:val="222222"/>
          <w:sz w:val="26"/>
          <w:szCs w:val="26"/>
        </w:rPr>
        <w:t xml:space="preserve">1.  Background and Purpose</w:t>
      </w:r>
    </w:p>
    <w:p>
      <w:pPr>
        <w:spacing w:after="80" w:before="80"/>
      </w:pPr>
      <w:r>
        <w:rPr>
          <w:rFonts w:ascii="Arial" w:cs="Arial" w:eastAsia="Arial" w:hAnsi="Arial"/>
          <w:sz w:val="20"/>
          <w:szCs w:val="20"/>
        </w:rPr>
        <w:t xml:space="preserve">The FIA Environmental Accreditation Programme Guidelines (April 2020) state that environmental impact areas 8 to 17 are to be addressed based on their relevance to the organisation, and that this relevance will be discussed and agreed with the environmental assessor. This document records the formal applicability assessment for Categories 15 (Noise) and 16 (Air Quality) in respect of Cadillac Hertz Team JOTA.</w:t>
      </w:r>
    </w:p>
    <w:p>
      <w:pPr>
        <w:spacing w:after="80" w:before="80"/>
      </w:pPr>
      <w:r>
        <w:rPr>
          <w:rFonts w:ascii="Arial" w:cs="Arial" w:eastAsia="Arial" w:hAnsi="Arial"/>
          <w:sz w:val="20"/>
          <w:szCs w:val="20"/>
        </w:rPr>
        <w:t xml:space="preserve">This assessment draws on the organisation’s operational context, facility location, and the nature of activities conducted. It demonstrates that these two categories were considered, assessed against FIA criteria, and determined to be of low material significance. The same conclusion was reached during the organisation’s FIA 2-Star accreditation. This document formalises and updates that position for the 3-Star application.</w:t>
      </w:r>
    </w:p>
    <w:p>
      <w:pPr>
        <w:spacing w:after="80" w:before="80"/>
      </w:pPr>
      <w:r>
        <w:t xml:space="preserve"/>
      </w:r>
    </w:p>
    <w:p>
      <w:pPr>
        <w:pBdr>
          <w:bottom w:val="single" w:color="E10600" w:sz="4"/>
        </w:pBdr>
        <w:spacing w:after="100" w:before="320"/>
      </w:pPr>
      <w:r>
        <w:rPr>
          <w:rFonts w:ascii="Arial" w:cs="Arial" w:eastAsia="Arial" w:hAnsi="Arial"/>
          <w:b/>
          <w:bCs/>
          <w:color w:val="222222"/>
          <w:sz w:val="26"/>
          <w:szCs w:val="26"/>
        </w:rPr>
        <w:t xml:space="preserve">2.  Organisational Context</w:t>
      </w:r>
    </w:p>
    <w:p>
      <w:pPr>
        <w:spacing w:after="80" w:before="80"/>
      </w:pPr>
      <w:r>
        <w:rPr>
          <w:rFonts w:ascii="Arial" w:cs="Arial" w:eastAsia="Arial" w:hAnsi="Arial"/>
          <w:sz w:val="20"/>
          <w:szCs w:val="20"/>
        </w:rPr>
        <w:t xml:space="preserve">Cadillac Hertz Team JOTA is an endurance motorsport team competing in the FIA World Endurance Championship (WEC) and Le Mans 24 Hours. The team’s base of operations is a workshop and office facility in the United Kingdom.</w:t>
      </w:r>
    </w:p>
    <w:p>
      <w:pPr>
        <w:spacing w:after="80" w:before="240"/>
      </w:pPr>
      <w:r>
        <w:rPr>
          <w:rFonts w:ascii="Arial" w:cs="Arial" w:eastAsia="Arial" w:hAnsi="Arial"/>
          <w:b/>
          <w:bCs/>
          <w:color w:val="222222"/>
          <w:sz w:val="22"/>
          <w:szCs w:val="22"/>
        </w:rPr>
        <w:t xml:space="preserve">Facility Characteristics</w:t>
      </w:r>
    </w:p>
    <w:p>
      <w:pPr>
        <w:pStyle w:val="ListParagraph"/>
        <w:numPr>
          <w:ilvl w:val="0"/>
          <w:numId w:val="2"/>
        </w:numPr>
        <w:spacing w:after="40" w:before="40"/>
      </w:pPr>
      <w:r>
        <w:rPr>
          <w:rFonts w:ascii="Arial" w:cs="Arial" w:eastAsia="Arial" w:hAnsi="Arial"/>
          <w:sz w:val="20"/>
          <w:szCs w:val="20"/>
        </w:rPr>
        <w:t xml:space="preserve">Industrial/commercial unit in a business park or light industrial area</w:t>
      </w:r>
    </w:p>
    <w:p>
      <w:pPr>
        <w:pStyle w:val="ListParagraph"/>
        <w:numPr>
          <w:ilvl w:val="0"/>
          <w:numId w:val="2"/>
        </w:numPr>
        <w:spacing w:after="40" w:before="40"/>
      </w:pPr>
      <w:r>
        <w:rPr>
          <w:rFonts w:ascii="Arial" w:cs="Arial" w:eastAsia="Arial" w:hAnsi="Arial"/>
          <w:sz w:val="20"/>
          <w:szCs w:val="20"/>
        </w:rPr>
        <w:t xml:space="preserve">Not adjacent to, or in close proximity to, residential dwellings or sensitive receptors</w:t>
      </w:r>
    </w:p>
    <w:p>
      <w:pPr>
        <w:pStyle w:val="ListParagraph"/>
        <w:numPr>
          <w:ilvl w:val="0"/>
          <w:numId w:val="2"/>
        </w:numPr>
        <w:spacing w:after="40" w:before="40"/>
      </w:pPr>
      <w:r>
        <w:rPr>
          <w:rFonts w:ascii="Arial" w:cs="Arial" w:eastAsia="Arial" w:hAnsi="Arial"/>
          <w:sz w:val="20"/>
          <w:szCs w:val="20"/>
        </w:rPr>
        <w:t xml:space="preserve">Operations conducted during normal business hours (Monday to Friday, with occasional weekend working around race preparation)</w:t>
      </w:r>
    </w:p>
    <w:p>
      <w:pPr>
        <w:pStyle w:val="ListParagraph"/>
        <w:numPr>
          <w:ilvl w:val="0"/>
          <w:numId w:val="2"/>
        </w:numPr>
        <w:spacing w:after="40" w:before="40"/>
      </w:pPr>
      <w:r>
        <w:rPr>
          <w:rFonts w:ascii="Arial" w:cs="Arial" w:eastAsia="Arial" w:hAnsi="Arial"/>
          <w:sz w:val="20"/>
          <w:szCs w:val="20"/>
        </w:rPr>
        <w:t xml:space="preserve">No circuit operations: JOTA is a participant team, not an event organiser or circuit operator</w:t>
      </w:r>
    </w:p>
    <w:p>
      <w:pPr>
        <w:pStyle w:val="ListParagraph"/>
        <w:numPr>
          <w:ilvl w:val="0"/>
          <w:numId w:val="2"/>
        </w:numPr>
        <w:spacing w:after="40" w:before="40"/>
      </w:pPr>
      <w:r>
        <w:rPr>
          <w:rFonts w:ascii="Arial" w:cs="Arial" w:eastAsia="Arial" w:hAnsi="Arial"/>
          <w:sz w:val="20"/>
          <w:szCs w:val="20"/>
        </w:rPr>
        <w:t xml:space="preserve">Race events are hosted at FIA-licensed circuits, which hold their own environmental and noise permits — JOTA has no control over circuit-level noise or air quality management at events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10600" w:val="clear"/>
            <w:tcMar>
              <w:top w:type="dxa" w:w="120"/>
              <w:left w:type="dxa" w:w="200"/>
              <w:bottom w:type="dxa" w:w="120"/>
              <w:right w:type="dxa" w:w="120"/>
            </w:tcMar>
          </w:tcPr>
          <w:p>
            <w:r>
              <w:rPr>
                <w:rFonts w:ascii="Arial" w:cs="Arial" w:eastAsia="Arial" w:hAnsi="Arial"/>
                <w:b/>
                <w:bCs/>
                <w:color w:val="FFFFFF"/>
                <w:sz w:val="24"/>
                <w:szCs w:val="24"/>
              </w:rPr>
              <w:t xml:space="preserve">CATEGORY 15 — NOISE</w:t>
            </w:r>
          </w:p>
        </w:tc>
      </w:tr>
    </w:tbl>
    <w:p>
      <w:pPr>
        <w:spacing w:after="80" w:before="80"/>
      </w:pPr>
      <w:r>
        <w:t xml:space="preserve"/>
      </w:r>
    </w:p>
    <w:p>
      <w:pPr>
        <w:pBdr>
          <w:bottom w:val="single" w:color="E10600" w:sz="4"/>
        </w:pBdr>
        <w:spacing w:after="100" w:before="320"/>
      </w:pPr>
      <w:r>
        <w:rPr>
          <w:rFonts w:ascii="Arial" w:cs="Arial" w:eastAsia="Arial" w:hAnsi="Arial"/>
          <w:b/>
          <w:bCs/>
          <w:color w:val="222222"/>
          <w:sz w:val="26"/>
          <w:szCs w:val="26"/>
        </w:rPr>
        <w:t xml:space="preserve">3.  Category 15: Noise — Applicability Assessment</w:t>
      </w:r>
    </w:p>
    <w:p>
      <w:pPr>
        <w:spacing w:after="80" w:before="240"/>
      </w:pPr>
      <w:r>
        <w:rPr>
          <w:rFonts w:ascii="Arial" w:cs="Arial" w:eastAsia="Arial" w:hAnsi="Arial"/>
          <w:b/>
          <w:bCs/>
          <w:color w:val="222222"/>
          <w:sz w:val="22"/>
          <w:szCs w:val="22"/>
        </w:rPr>
        <w:t xml:space="preserve">FIA 3-Star Requirement (Category 15)</w:t>
      </w:r>
    </w:p>
    <w:p>
      <w:pPr>
        <w:spacing w:after="80" w:before="80"/>
      </w:pPr>
      <w:r>
        <w:rPr>
          <w:rFonts w:ascii="Arial" w:cs="Arial" w:eastAsia="Arial" w:hAnsi="Arial"/>
          <w:sz w:val="20"/>
          <w:szCs w:val="20"/>
        </w:rPr>
        <w:t xml:space="preserve">The FIA guidelines require, where relevant: appropriate noise monitoring and implementation; local stakeholder engagement; compliance with local regulatory requirements or internationally accepted best practice; and a relevant reporting regime. The One-Star scoping step asks organisations to evaluate whether noise impacts are relevant.</w:t>
      </w:r>
    </w:p>
    <w:p>
      <w:pPr>
        <w:spacing w:after="80" w:before="240"/>
      </w:pPr>
      <w:r>
        <w:rPr>
          <w:rFonts w:ascii="Arial" w:cs="Arial" w:eastAsia="Arial" w:hAnsi="Arial"/>
          <w:b/>
          <w:bCs/>
          <w:color w:val="222222"/>
          <w:sz w:val="22"/>
          <w:szCs w:val="22"/>
        </w:rPr>
        <w:t xml:space="preserve">Assessment</w:t>
      </w:r>
    </w:p>
    <w:p>
      <w:pPr>
        <w:spacing w:after="80" w:before="80"/>
      </w:pPr>
      <w:r>
        <w:rPr>
          <w:rFonts w:ascii="Arial" w:cs="Arial" w:eastAsia="Arial" w:hAnsi="Arial"/>
          <w:sz w:val="20"/>
          <w:szCs w:val="20"/>
        </w:rPr>
        <w:t xml:space="preserve">The primary sources of noise at the JOTA facility during normal operations are:</w:t>
      </w:r>
    </w:p>
    <w:p>
      <w:pPr>
        <w:pStyle w:val="ListParagraph"/>
        <w:numPr>
          <w:ilvl w:val="0"/>
          <w:numId w:val="2"/>
        </w:numPr>
        <w:spacing w:after="40" w:before="40"/>
      </w:pPr>
      <w:r>
        <w:rPr>
          <w:rFonts w:ascii="Arial" w:cs="Arial" w:eastAsia="Arial" w:hAnsi="Arial"/>
          <w:sz w:val="20"/>
          <w:szCs w:val="20"/>
        </w:rPr>
        <w:t xml:space="preserve">Fabrication and workshop activities (metalwork, grinding, cutting)</w:t>
      </w:r>
    </w:p>
    <w:p>
      <w:pPr>
        <w:pStyle w:val="ListParagraph"/>
        <w:numPr>
          <w:ilvl w:val="0"/>
          <w:numId w:val="2"/>
        </w:numPr>
        <w:spacing w:after="40" w:before="40"/>
      </w:pPr>
      <w:r>
        <w:rPr>
          <w:rFonts w:ascii="Arial" w:cs="Arial" w:eastAsia="Arial" w:hAnsi="Arial"/>
          <w:sz w:val="20"/>
          <w:szCs w:val="20"/>
        </w:rPr>
        <w:t xml:space="preserve">Vehicle preparation and occasional engine running (brief functional checks, not sustained circuit-level testing)</w:t>
      </w:r>
    </w:p>
    <w:p>
      <w:pPr>
        <w:pStyle w:val="ListParagraph"/>
        <w:numPr>
          <w:ilvl w:val="0"/>
          <w:numId w:val="2"/>
        </w:numPr>
        <w:spacing w:after="40" w:before="40"/>
      </w:pPr>
      <w:r>
        <w:rPr>
          <w:rFonts w:ascii="Arial" w:cs="Arial" w:eastAsia="Arial" w:hAnsi="Arial"/>
          <w:sz w:val="20"/>
          <w:szCs w:val="20"/>
        </w:rPr>
        <w:t xml:space="preserve">Normal office and logistics activity</w:t>
      </w:r>
    </w:p>
    <w:p>
      <w:pPr>
        <w:spacing w:after="80" w:before="80"/>
      </w:pPr>
      <w:r>
        <w:rPr>
          <w:rFonts w:ascii="Arial" w:cs="Arial" w:eastAsia="Arial" w:hAnsi="Arial"/>
          <w:sz w:val="20"/>
          <w:szCs w:val="20"/>
        </w:rPr>
        <w:t xml:space="preserve">The following factors were assessed in determining relevance: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4238"/>
        <w:gridCol w:w="2200"/>
      </w:tblGrid>
      <w:tr>
        <w:tc>
          <w:tcPr>
            <w:tcBorders>
              <w:top w:val="single" w:color="D0D0D0" w:sz="1"/>
              <w:left w:val="single" w:color="D0D0D0" w:sz="1"/>
              <w:bottom w:val="single" w:color="D0D0D0" w:sz="1"/>
              <w:right w:val="single" w:color="D0D0D0" w:sz="1"/>
            </w:tcBorders>
            <w:shd w:fill="222222" w:val="clear"/>
            <w:tcMar>
              <w:top w:type="dxa" w:w="80"/>
              <w:left w:type="dxa" w:w="120"/>
              <w:bottom w:type="dxa" w:w="80"/>
              <w:right w:type="dxa" w:w="120"/>
            </w:tcMar>
          </w:tcPr>
          <w:p>
            <w:r>
              <w:rPr>
                <w:rFonts w:ascii="Arial" w:cs="Arial" w:eastAsia="Arial" w:hAnsi="Arial"/>
                <w:b/>
                <w:bCs/>
                <w:color w:val="FFFFFF"/>
                <w:sz w:val="18"/>
                <w:szCs w:val="18"/>
              </w:rPr>
              <w:t xml:space="preserve">Factor</w:t>
            </w:r>
          </w:p>
        </w:tc>
        <w:tc>
          <w:tcPr>
            <w:tcBorders>
              <w:top w:val="single" w:color="D0D0D0" w:sz="1"/>
              <w:left w:val="single" w:color="D0D0D0" w:sz="1"/>
              <w:bottom w:val="single" w:color="D0D0D0" w:sz="1"/>
              <w:right w:val="single" w:color="D0D0D0" w:sz="1"/>
            </w:tcBorders>
            <w:shd w:fill="222222" w:val="clear"/>
            <w:tcMar>
              <w:top w:type="dxa" w:w="80"/>
              <w:left w:type="dxa" w:w="120"/>
              <w:bottom w:type="dxa" w:w="80"/>
              <w:right w:type="dxa" w:w="120"/>
            </w:tcMar>
          </w:tcPr>
          <w:p>
            <w:r>
              <w:rPr>
                <w:rFonts w:ascii="Arial" w:cs="Arial" w:eastAsia="Arial" w:hAnsi="Arial"/>
                <w:b/>
                <w:bCs/>
                <w:color w:val="FFFFFF"/>
                <w:sz w:val="18"/>
                <w:szCs w:val="18"/>
              </w:rPr>
              <w:t xml:space="preserve">Detail</w:t>
            </w:r>
          </w:p>
        </w:tc>
        <w:tc>
          <w:tcPr>
            <w:tcBorders>
              <w:top w:val="single" w:color="D0D0D0" w:sz="1"/>
              <w:left w:val="single" w:color="D0D0D0" w:sz="1"/>
              <w:bottom w:val="single" w:color="D0D0D0" w:sz="1"/>
              <w:right w:val="single" w:color="D0D0D0" w:sz="1"/>
            </w:tcBorders>
            <w:shd w:fill="222222" w:val="clear"/>
            <w:tcMar>
              <w:top w:type="dxa" w:w="80"/>
              <w:left w:type="dxa" w:w="120"/>
              <w:bottom w:type="dxa" w:w="80"/>
              <w:right w:type="dxa" w:w="120"/>
            </w:tcMar>
          </w:tcPr>
          <w:p>
            <w:r>
              <w:rPr>
                <w:rFonts w:ascii="Arial" w:cs="Arial" w:eastAsia="Arial" w:hAnsi="Arial"/>
                <w:b/>
                <w:bCs/>
                <w:color w:val="FFFFFF"/>
                <w:sz w:val="18"/>
                <w:szCs w:val="18"/>
              </w:rPr>
              <w:t xml:space="preserve">Assessment</w:t>
            </w:r>
          </w:p>
        </w:tc>
      </w:tr>
      <w:tr>
        <w:tc>
          <w:tcPr>
            <w:tcW w:type="dxa" w:w="320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Proximity to residential</w:t>
            </w:r>
          </w:p>
        </w:tc>
        <w:tc>
          <w:tcPr>
            <w:tcW w:type="dxa" w:w="4238"/>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Facility located in a commercial/industrial area; no residential properties in close proximity</w:t>
            </w:r>
          </w:p>
        </w:tc>
        <w:tc>
          <w:tcPr>
            <w:tcW w:type="dxa" w:w="2200"/>
            <w:tcBorders>
              <w:top w:val="single" w:color="D0D0D0" w:sz="1"/>
              <w:left w:val="single" w:color="D0D0D0" w:sz="1"/>
              <w:bottom w:val="single" w:color="D0D0D0" w:sz="1"/>
              <w:right w:val="single" w:color="D0D0D0" w:sz="1"/>
            </w:tcBorders>
            <w:shd w:fill="E8F5E9" w:val="clear"/>
            <w:tcMar>
              <w:top w:type="dxa" w:w="80"/>
              <w:left w:type="dxa" w:w="120"/>
              <w:bottom w:type="dxa" w:w="80"/>
              <w:right w:type="dxa" w:w="120"/>
            </w:tcMar>
          </w:tcPr>
          <w:p>
            <w:r>
              <w:rPr>
                <w:rFonts w:ascii="Arial" w:cs="Arial" w:eastAsia="Arial" w:hAnsi="Arial"/>
                <w:color w:val="2E7D32"/>
                <w:sz w:val="18"/>
                <w:szCs w:val="18"/>
              </w:rPr>
              <w:t xml:space="preserve">Low risk</w:t>
            </w:r>
          </w:p>
        </w:tc>
      </w:tr>
      <w:tr>
        <w:tc>
          <w:tcPr>
            <w:tcW w:type="dxa" w:w="320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Noise-sensitive receptors</w:t>
            </w:r>
          </w:p>
        </w:tc>
        <w:tc>
          <w:tcPr>
            <w:tcW w:type="dxa" w:w="4238"/>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No schools, hospitals, care homes or other sensitive receptors identified within impact zone</w:t>
            </w:r>
          </w:p>
        </w:tc>
        <w:tc>
          <w:tcPr>
            <w:tcW w:type="dxa" w:w="2200"/>
            <w:tcBorders>
              <w:top w:val="single" w:color="D0D0D0" w:sz="1"/>
              <w:left w:val="single" w:color="D0D0D0" w:sz="1"/>
              <w:bottom w:val="single" w:color="D0D0D0" w:sz="1"/>
              <w:right w:val="single" w:color="D0D0D0" w:sz="1"/>
            </w:tcBorders>
            <w:shd w:fill="E8F5E9" w:val="clear"/>
            <w:tcMar>
              <w:top w:type="dxa" w:w="80"/>
              <w:left w:type="dxa" w:w="120"/>
              <w:bottom w:type="dxa" w:w="80"/>
              <w:right w:type="dxa" w:w="120"/>
            </w:tcMar>
          </w:tcPr>
          <w:p>
            <w:r>
              <w:rPr>
                <w:rFonts w:ascii="Arial" w:cs="Arial" w:eastAsia="Arial" w:hAnsi="Arial"/>
                <w:color w:val="2E7D32"/>
                <w:sz w:val="18"/>
                <w:szCs w:val="18"/>
              </w:rPr>
              <w:t xml:space="preserve">Low risk</w:t>
            </w:r>
          </w:p>
        </w:tc>
      </w:tr>
      <w:tr>
        <w:tc>
          <w:tcPr>
            <w:tcW w:type="dxa" w:w="320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Nature of activities</w:t>
            </w:r>
          </w:p>
        </w:tc>
        <w:tc>
          <w:tcPr>
            <w:tcW w:type="dxa" w:w="4238"/>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Workshop fabrication during standard hours; no sustained high-intensity noise sources (e.g. no dynamometer or extended engine testing)</w:t>
            </w:r>
          </w:p>
        </w:tc>
        <w:tc>
          <w:tcPr>
            <w:tcW w:type="dxa" w:w="2200"/>
            <w:tcBorders>
              <w:top w:val="single" w:color="D0D0D0" w:sz="1"/>
              <w:left w:val="single" w:color="D0D0D0" w:sz="1"/>
              <w:bottom w:val="single" w:color="D0D0D0" w:sz="1"/>
              <w:right w:val="single" w:color="D0D0D0" w:sz="1"/>
            </w:tcBorders>
            <w:shd w:fill="E8F5E9" w:val="clear"/>
            <w:tcMar>
              <w:top w:type="dxa" w:w="80"/>
              <w:left w:type="dxa" w:w="120"/>
              <w:bottom w:type="dxa" w:w="80"/>
              <w:right w:type="dxa" w:w="120"/>
            </w:tcMar>
          </w:tcPr>
          <w:p>
            <w:r>
              <w:rPr>
                <w:rFonts w:ascii="Arial" w:cs="Arial" w:eastAsia="Arial" w:hAnsi="Arial"/>
                <w:color w:val="2E7D32"/>
                <w:sz w:val="18"/>
                <w:szCs w:val="18"/>
              </w:rPr>
              <w:t xml:space="preserve">Low risk</w:t>
            </w:r>
          </w:p>
        </w:tc>
      </w:tr>
      <w:tr>
        <w:tc>
          <w:tcPr>
            <w:tcW w:type="dxa" w:w="320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Regulatory complaints</w:t>
            </w:r>
          </w:p>
        </w:tc>
        <w:tc>
          <w:tcPr>
            <w:tcW w:type="dxa" w:w="4238"/>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No noise complaints received from neighbours, local authority or other stakeholders</w:t>
            </w:r>
          </w:p>
        </w:tc>
        <w:tc>
          <w:tcPr>
            <w:tcW w:type="dxa" w:w="2200"/>
            <w:tcBorders>
              <w:top w:val="single" w:color="D0D0D0" w:sz="1"/>
              <w:left w:val="single" w:color="D0D0D0" w:sz="1"/>
              <w:bottom w:val="single" w:color="D0D0D0" w:sz="1"/>
              <w:right w:val="single" w:color="D0D0D0" w:sz="1"/>
            </w:tcBorders>
            <w:shd w:fill="E8F5E9" w:val="clear"/>
            <w:tcMar>
              <w:top w:type="dxa" w:w="80"/>
              <w:left w:type="dxa" w:w="120"/>
              <w:bottom w:type="dxa" w:w="80"/>
              <w:right w:type="dxa" w:w="120"/>
            </w:tcMar>
          </w:tcPr>
          <w:p>
            <w:r>
              <w:rPr>
                <w:rFonts w:ascii="Arial" w:cs="Arial" w:eastAsia="Arial" w:hAnsi="Arial"/>
                <w:color w:val="2E7D32"/>
                <w:sz w:val="18"/>
                <w:szCs w:val="18"/>
              </w:rPr>
              <w:t xml:space="preserve">Low risk</w:t>
            </w:r>
          </w:p>
        </w:tc>
      </w:tr>
      <w:tr>
        <w:tc>
          <w:tcPr>
            <w:tcW w:type="dxa" w:w="320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Race event activities</w:t>
            </w:r>
          </w:p>
        </w:tc>
        <w:tc>
          <w:tcPr>
            <w:tcW w:type="dxa" w:w="4238"/>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Conducted at FIA-licensed circuits with their own noise permits and regulatory obligations; JOTA has no operational control over circuit-level noise</w:t>
            </w:r>
          </w:p>
        </w:tc>
        <w:tc>
          <w:tcPr>
            <w:tcW w:type="dxa" w:w="2200"/>
            <w:tcBorders>
              <w:top w:val="single" w:color="D0D0D0" w:sz="1"/>
              <w:left w:val="single" w:color="D0D0D0" w:sz="1"/>
              <w:bottom w:val="single" w:color="D0D0D0" w:sz="1"/>
              <w:right w:val="single" w:color="D0D0D0" w:sz="1"/>
            </w:tcBorders>
            <w:shd w:fill="E8F5E9" w:val="clear"/>
            <w:tcMar>
              <w:top w:type="dxa" w:w="80"/>
              <w:left w:type="dxa" w:w="120"/>
              <w:bottom w:type="dxa" w:w="80"/>
              <w:right w:type="dxa" w:w="120"/>
            </w:tcMar>
          </w:tcPr>
          <w:p>
            <w:r>
              <w:rPr>
                <w:rFonts w:ascii="Arial" w:cs="Arial" w:eastAsia="Arial" w:hAnsi="Arial"/>
                <w:color w:val="2E7D32"/>
                <w:sz w:val="18"/>
                <w:szCs w:val="18"/>
              </w:rPr>
              <w:t xml:space="preserve">Out of scope</w:t>
            </w:r>
          </w:p>
        </w:tc>
      </w:tr>
      <w:tr>
        <w:tc>
          <w:tcPr>
            <w:tcW w:type="dxa" w:w="320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Previous accreditation</w:t>
            </w:r>
          </w:p>
        </w:tc>
        <w:tc>
          <w:tcPr>
            <w:tcW w:type="dxa" w:w="4238"/>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Category 15 was assessed and confirmed as not materially applicable during the FIA 2-Star accreditation process; no auditor observations raised</w:t>
            </w:r>
          </w:p>
        </w:tc>
        <w:tc>
          <w:tcPr>
            <w:tcW w:type="dxa" w:w="2200"/>
            <w:tcBorders>
              <w:top w:val="single" w:color="D0D0D0" w:sz="1"/>
              <w:left w:val="single" w:color="D0D0D0" w:sz="1"/>
              <w:bottom w:val="single" w:color="D0D0D0" w:sz="1"/>
              <w:right w:val="single" w:color="D0D0D0" w:sz="1"/>
            </w:tcBorders>
            <w:shd w:fill="E8F5E9" w:val="clear"/>
            <w:tcMar>
              <w:top w:type="dxa" w:w="80"/>
              <w:left w:type="dxa" w:w="120"/>
              <w:bottom w:type="dxa" w:w="80"/>
              <w:right w:type="dxa" w:w="120"/>
            </w:tcMar>
          </w:tcPr>
          <w:p>
            <w:r>
              <w:rPr>
                <w:rFonts w:ascii="Arial" w:cs="Arial" w:eastAsia="Arial" w:hAnsi="Arial"/>
                <w:color w:val="2E7D32"/>
                <w:sz w:val="18"/>
                <w:szCs w:val="18"/>
              </w:rPr>
              <w:t xml:space="preserve">Precedent</w:t>
            </w:r>
          </w:p>
        </w:tc>
      </w:tr>
    </w:tbl>
    <w:p>
      <w:pPr>
        <w:spacing w:after="80" w:before="80"/>
      </w:pPr>
      <w:r>
        <w:t xml:space="preserve"/>
      </w:r>
    </w:p>
    <w:p>
      <w:pPr>
        <w:spacing w:after="80" w:before="240"/>
      </w:pPr>
      <w:r>
        <w:rPr>
          <w:rFonts w:ascii="Arial" w:cs="Arial" w:eastAsia="Arial" w:hAnsi="Arial"/>
          <w:b/>
          <w:bCs/>
          <w:color w:val="222222"/>
          <w:sz w:val="22"/>
          <w:szCs w:val="22"/>
        </w:rPr>
        <w:t xml:space="preserve">Conclusion — Category 15 (Noise)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0D0" w:sz="1"/>
              <w:left w:val="single" w:color="D0D0D0" w:sz="1"/>
              <w:bottom w:val="single" w:color="D0D0D0" w:sz="1"/>
              <w:right w:val="single" w:color="D0D0D0" w:sz="1"/>
            </w:tcBorders>
            <w:shd w:fill="F5F5F5" w:val="clear"/>
            <w:tcMar>
              <w:top w:type="dxa" w:w="100"/>
              <w:left w:type="dxa" w:w="180"/>
              <w:bottom w:type="dxa" w:w="100"/>
              <w:right w:type="dxa" w:w="180"/>
            </w:tcMar>
          </w:tcPr>
          <w:p>
            <w:r>
              <w:rPr>
                <w:rFonts w:ascii="Arial" w:cs="Arial" w:eastAsia="Arial" w:hAnsi="Arial"/>
                <w:i/>
                <w:iCs/>
                <w:sz w:val="20"/>
                <w:szCs w:val="20"/>
              </w:rPr>
              <w:t xml:space="preserve">Category 15 is assessed as NOT MATERIALLY APPLICABLE to Cadillac Hertz Team JOTA. The facility is located in a commercial/industrial area with no nearby residential properties or sensitive receptors, activities are conducted during standard working hours, no sustained high-intensity noise sources are operated, and no noise complaints have been received. Race events are conducted at licensed circuits outside JOTA’s operational control. This position is consistent with the 2-Star accreditation assessment. This assessment will be reviewed if the facility location changes or if activities materially change in nature.</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10600" w:val="clear"/>
            <w:tcMar>
              <w:top w:type="dxa" w:w="120"/>
              <w:left w:type="dxa" w:w="200"/>
              <w:bottom w:type="dxa" w:w="120"/>
              <w:right w:type="dxa" w:w="120"/>
            </w:tcMar>
          </w:tcPr>
          <w:p>
            <w:r>
              <w:rPr>
                <w:rFonts w:ascii="Arial" w:cs="Arial" w:eastAsia="Arial" w:hAnsi="Arial"/>
                <w:b/>
                <w:bCs/>
                <w:color w:val="FFFFFF"/>
                <w:sz w:val="24"/>
                <w:szCs w:val="24"/>
              </w:rPr>
              <w:t xml:space="preserve">CATEGORY 16 — AIR QUALITY</w:t>
            </w:r>
          </w:p>
        </w:tc>
      </w:tr>
    </w:tbl>
    <w:p>
      <w:pPr>
        <w:spacing w:after="80" w:before="80"/>
      </w:pPr>
      <w:r>
        <w:t xml:space="preserve"/>
      </w:r>
    </w:p>
    <w:p>
      <w:pPr>
        <w:pBdr>
          <w:bottom w:val="single" w:color="E10600" w:sz="4"/>
        </w:pBdr>
        <w:spacing w:after="100" w:before="320"/>
      </w:pPr>
      <w:r>
        <w:rPr>
          <w:rFonts w:ascii="Arial" w:cs="Arial" w:eastAsia="Arial" w:hAnsi="Arial"/>
          <w:b/>
          <w:bCs/>
          <w:color w:val="222222"/>
          <w:sz w:val="26"/>
          <w:szCs w:val="26"/>
        </w:rPr>
        <w:t xml:space="preserve">4.  Category 16: Air Quality — Applicability Assessment</w:t>
      </w:r>
    </w:p>
    <w:p>
      <w:pPr>
        <w:spacing w:after="80" w:before="240"/>
      </w:pPr>
      <w:r>
        <w:rPr>
          <w:rFonts w:ascii="Arial" w:cs="Arial" w:eastAsia="Arial" w:hAnsi="Arial"/>
          <w:b/>
          <w:bCs/>
          <w:color w:val="222222"/>
          <w:sz w:val="22"/>
          <w:szCs w:val="22"/>
        </w:rPr>
        <w:t xml:space="preserve">FIA 3-Star Requirement (Category 16)</w:t>
      </w:r>
    </w:p>
    <w:p>
      <w:pPr>
        <w:spacing w:after="80" w:before="80"/>
      </w:pPr>
      <w:r>
        <w:rPr>
          <w:rFonts w:ascii="Arial" w:cs="Arial" w:eastAsia="Arial" w:hAnsi="Arial"/>
          <w:sz w:val="20"/>
          <w:szCs w:val="20"/>
        </w:rPr>
        <w:t xml:space="preserve">The FIA guidelines require, where relevant: processes for monitoring and measuring relevant air quality including NOx, SOx, and dust emissions; routine monitoring and communication of results; targets for reducing air pollution; contribution in line with internationally accepted best practice; and engagement with subcontractors, suppliers, and teams on air quality issues.</w:t>
      </w:r>
    </w:p>
    <w:p>
      <w:pPr>
        <w:spacing w:after="80" w:before="240"/>
      </w:pPr>
      <w:r>
        <w:rPr>
          <w:rFonts w:ascii="Arial" w:cs="Arial" w:eastAsia="Arial" w:hAnsi="Arial"/>
          <w:b/>
          <w:bCs/>
          <w:color w:val="222222"/>
          <w:sz w:val="22"/>
          <w:szCs w:val="22"/>
        </w:rPr>
        <w:t xml:space="preserve">Assessment</w:t>
      </w:r>
    </w:p>
    <w:p>
      <w:pPr>
        <w:spacing w:after="80" w:before="80"/>
      </w:pPr>
      <w:r>
        <w:rPr>
          <w:rFonts w:ascii="Arial" w:cs="Arial" w:eastAsia="Arial" w:hAnsi="Arial"/>
          <w:sz w:val="20"/>
          <w:szCs w:val="20"/>
        </w:rPr>
        <w:t xml:space="preserve">Potential sources of air quality impact from JOTA’s operations were identified as follows:</w:t>
      </w:r>
    </w:p>
    <w:p>
      <w:pPr>
        <w:pStyle w:val="ListParagraph"/>
        <w:numPr>
          <w:ilvl w:val="0"/>
          <w:numId w:val="2"/>
        </w:numPr>
        <w:spacing w:after="40" w:before="40"/>
      </w:pPr>
      <w:r>
        <w:rPr>
          <w:rFonts w:ascii="Arial" w:cs="Arial" w:eastAsia="Arial" w:hAnsi="Arial"/>
          <w:sz w:val="20"/>
          <w:szCs w:val="20"/>
        </w:rPr>
        <w:t xml:space="preserve">Vehicle exhausts: Race cars operated on-site are run briefly and infrequently (functional checks); no sustained running</w:t>
      </w:r>
    </w:p>
    <w:p>
      <w:pPr>
        <w:pStyle w:val="ListParagraph"/>
        <w:numPr>
          <w:ilvl w:val="0"/>
          <w:numId w:val="2"/>
        </w:numPr>
        <w:spacing w:after="40" w:before="40"/>
      </w:pPr>
      <w:r>
        <w:rPr>
          <w:rFonts w:ascii="Arial" w:cs="Arial" w:eastAsia="Arial" w:hAnsi="Arial"/>
          <w:sz w:val="20"/>
          <w:szCs w:val="20"/>
        </w:rPr>
        <w:t xml:space="preserve">Welding and fabrication: Occasional metalwork generates localised fume; extraction equipment is in place as required by health and safety regulations</w:t>
      </w:r>
    </w:p>
    <w:p>
      <w:pPr>
        <w:pStyle w:val="ListParagraph"/>
        <w:numPr>
          <w:ilvl w:val="0"/>
          <w:numId w:val="2"/>
        </w:numPr>
        <w:spacing w:after="40" w:before="40"/>
      </w:pPr>
      <w:r>
        <w:rPr>
          <w:rFonts w:ascii="Arial" w:cs="Arial" w:eastAsia="Arial" w:hAnsi="Arial"/>
          <w:sz w:val="20"/>
          <w:szCs w:val="20"/>
        </w:rPr>
        <w:t xml:space="preserve">Paint/composite work: Any painting or bodywork activities use appropriate extraction and respiratory controls under COSHH regulations</w:t>
      </w:r>
    </w:p>
    <w:p>
      <w:pPr>
        <w:pStyle w:val="ListParagraph"/>
        <w:numPr>
          <w:ilvl w:val="0"/>
          <w:numId w:val="2"/>
        </w:numPr>
        <w:spacing w:after="40" w:before="40"/>
      </w:pPr>
      <w:r>
        <w:rPr>
          <w:rFonts w:ascii="Arial" w:cs="Arial" w:eastAsia="Arial" w:hAnsi="Arial"/>
          <w:sz w:val="20"/>
          <w:szCs w:val="20"/>
        </w:rPr>
        <w:t xml:space="preserve">Road transport: Haulage and team travel vehicles contribute to transport-related emissions — these are addressed under Category 13 (Transport) and Category 17 (Carbon) and are logged in the Transport Log</w:t>
      </w:r>
    </w:p>
    <w:p>
      <w:pPr>
        <w:pStyle w:val="ListParagraph"/>
        <w:numPr>
          <w:ilvl w:val="0"/>
          <w:numId w:val="2"/>
        </w:numPr>
        <w:spacing w:after="40" w:before="40"/>
      </w:pPr>
      <w:r>
        <w:rPr>
          <w:rFonts w:ascii="Arial" w:cs="Arial" w:eastAsia="Arial" w:hAnsi="Arial"/>
          <w:sz w:val="20"/>
          <w:szCs w:val="20"/>
        </w:rPr>
        <w:t xml:space="preserve">Scope 1 fuel combustion: Direct emissions from fuel are quantified in the VSME Carbon Footprint Report 2024 (Scope 1: 28.09 tCO2e) and managed under Category 17</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4238"/>
        <w:gridCol w:w="2200"/>
      </w:tblGrid>
      <w:tr>
        <w:tc>
          <w:tcPr>
            <w:tcBorders>
              <w:top w:val="single" w:color="D0D0D0" w:sz="1"/>
              <w:left w:val="single" w:color="D0D0D0" w:sz="1"/>
              <w:bottom w:val="single" w:color="D0D0D0" w:sz="1"/>
              <w:right w:val="single" w:color="D0D0D0" w:sz="1"/>
            </w:tcBorders>
            <w:shd w:fill="222222" w:val="clear"/>
            <w:tcMar>
              <w:top w:type="dxa" w:w="80"/>
              <w:left w:type="dxa" w:w="120"/>
              <w:bottom w:type="dxa" w:w="80"/>
              <w:right w:type="dxa" w:w="120"/>
            </w:tcMar>
          </w:tcPr>
          <w:p>
            <w:r>
              <w:rPr>
                <w:rFonts w:ascii="Arial" w:cs="Arial" w:eastAsia="Arial" w:hAnsi="Arial"/>
                <w:b/>
                <w:bCs/>
                <w:color w:val="FFFFFF"/>
                <w:sz w:val="18"/>
                <w:szCs w:val="18"/>
              </w:rPr>
              <w:t xml:space="preserve">Factor</w:t>
            </w:r>
          </w:p>
        </w:tc>
        <w:tc>
          <w:tcPr>
            <w:tcBorders>
              <w:top w:val="single" w:color="D0D0D0" w:sz="1"/>
              <w:left w:val="single" w:color="D0D0D0" w:sz="1"/>
              <w:bottom w:val="single" w:color="D0D0D0" w:sz="1"/>
              <w:right w:val="single" w:color="D0D0D0" w:sz="1"/>
            </w:tcBorders>
            <w:shd w:fill="222222" w:val="clear"/>
            <w:tcMar>
              <w:top w:type="dxa" w:w="80"/>
              <w:left w:type="dxa" w:w="120"/>
              <w:bottom w:type="dxa" w:w="80"/>
              <w:right w:type="dxa" w:w="120"/>
            </w:tcMar>
          </w:tcPr>
          <w:p>
            <w:r>
              <w:rPr>
                <w:rFonts w:ascii="Arial" w:cs="Arial" w:eastAsia="Arial" w:hAnsi="Arial"/>
                <w:b/>
                <w:bCs/>
                <w:color w:val="FFFFFF"/>
                <w:sz w:val="18"/>
                <w:szCs w:val="18"/>
              </w:rPr>
              <w:t xml:space="preserve">Detail</w:t>
            </w:r>
          </w:p>
        </w:tc>
        <w:tc>
          <w:tcPr>
            <w:tcBorders>
              <w:top w:val="single" w:color="D0D0D0" w:sz="1"/>
              <w:left w:val="single" w:color="D0D0D0" w:sz="1"/>
              <w:bottom w:val="single" w:color="D0D0D0" w:sz="1"/>
              <w:right w:val="single" w:color="D0D0D0" w:sz="1"/>
            </w:tcBorders>
            <w:shd w:fill="222222" w:val="clear"/>
            <w:tcMar>
              <w:top w:type="dxa" w:w="80"/>
              <w:left w:type="dxa" w:w="120"/>
              <w:bottom w:type="dxa" w:w="80"/>
              <w:right w:type="dxa" w:w="120"/>
            </w:tcMar>
          </w:tcPr>
          <w:p>
            <w:r>
              <w:rPr>
                <w:rFonts w:ascii="Arial" w:cs="Arial" w:eastAsia="Arial" w:hAnsi="Arial"/>
                <w:b/>
                <w:bCs/>
                <w:color w:val="FFFFFF"/>
                <w:sz w:val="18"/>
                <w:szCs w:val="18"/>
              </w:rPr>
              <w:t xml:space="preserve">Assessment</w:t>
            </w:r>
          </w:p>
        </w:tc>
      </w:tr>
      <w:tr>
        <w:tc>
          <w:tcPr>
            <w:tcW w:type="dxa" w:w="320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Location air quality zone</w:t>
            </w:r>
          </w:p>
        </w:tc>
        <w:tc>
          <w:tcPr>
            <w:tcW w:type="dxa" w:w="4238"/>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Facility is not located within a designated Air Quality Management Area (AQMA) as defined by the local authority</w:t>
            </w:r>
          </w:p>
        </w:tc>
        <w:tc>
          <w:tcPr>
            <w:tcW w:type="dxa" w:w="2200"/>
            <w:tcBorders>
              <w:top w:val="single" w:color="D0D0D0" w:sz="1"/>
              <w:left w:val="single" w:color="D0D0D0" w:sz="1"/>
              <w:bottom w:val="single" w:color="D0D0D0" w:sz="1"/>
              <w:right w:val="single" w:color="D0D0D0" w:sz="1"/>
            </w:tcBorders>
            <w:shd w:fill="E8F5E9" w:val="clear"/>
            <w:tcMar>
              <w:top w:type="dxa" w:w="80"/>
              <w:left w:type="dxa" w:w="120"/>
              <w:bottom w:type="dxa" w:w="80"/>
              <w:right w:type="dxa" w:w="120"/>
            </w:tcMar>
          </w:tcPr>
          <w:p>
            <w:r>
              <w:rPr>
                <w:rFonts w:ascii="Arial" w:cs="Arial" w:eastAsia="Arial" w:hAnsi="Arial"/>
                <w:color w:val="2E7D32"/>
                <w:sz w:val="18"/>
                <w:szCs w:val="18"/>
              </w:rPr>
              <w:t xml:space="preserve">Low risk</w:t>
            </w:r>
          </w:p>
        </w:tc>
      </w:tr>
      <w:tr>
        <w:tc>
          <w:tcPr>
            <w:tcW w:type="dxa" w:w="320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Process emissions (NOx, SOx, dust)</w:t>
            </w:r>
          </w:p>
        </w:tc>
        <w:tc>
          <w:tcPr>
            <w:tcW w:type="dxa" w:w="4238"/>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No continuous industrial combustion processes; welding/fabrication fume controlled under COSHH and workplace health and safety requirements with extraction</w:t>
            </w:r>
          </w:p>
        </w:tc>
        <w:tc>
          <w:tcPr>
            <w:tcW w:type="dxa" w:w="2200"/>
            <w:tcBorders>
              <w:top w:val="single" w:color="D0D0D0" w:sz="1"/>
              <w:left w:val="single" w:color="D0D0D0" w:sz="1"/>
              <w:bottom w:val="single" w:color="D0D0D0" w:sz="1"/>
              <w:right w:val="single" w:color="D0D0D0" w:sz="1"/>
            </w:tcBorders>
            <w:shd w:fill="E8F5E9" w:val="clear"/>
            <w:tcMar>
              <w:top w:type="dxa" w:w="80"/>
              <w:left w:type="dxa" w:w="120"/>
              <w:bottom w:type="dxa" w:w="80"/>
              <w:right w:type="dxa" w:w="120"/>
            </w:tcMar>
          </w:tcPr>
          <w:p>
            <w:r>
              <w:rPr>
                <w:rFonts w:ascii="Arial" w:cs="Arial" w:eastAsia="Arial" w:hAnsi="Arial"/>
                <w:color w:val="2E7D32"/>
                <w:sz w:val="18"/>
                <w:szCs w:val="18"/>
              </w:rPr>
              <w:t xml:space="preserve">Managed via H&amp;S</w:t>
            </w:r>
          </w:p>
        </w:tc>
      </w:tr>
      <w:tr>
        <w:tc>
          <w:tcPr>
            <w:tcW w:type="dxa" w:w="320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Transport emissions</w:t>
            </w:r>
          </w:p>
        </w:tc>
        <w:tc>
          <w:tcPr>
            <w:tcW w:type="dxa" w:w="4238"/>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Road and air transport emissions are captured within Scope 3 carbon accounting (Categories 13 and 17) and managed through the Green Transport Policy</w:t>
            </w:r>
          </w:p>
        </w:tc>
        <w:tc>
          <w:tcPr>
            <w:tcW w:type="dxa" w:w="2200"/>
            <w:tcBorders>
              <w:top w:val="single" w:color="D0D0D0" w:sz="1"/>
              <w:left w:val="single" w:color="D0D0D0" w:sz="1"/>
              <w:bottom w:val="single" w:color="D0D0D0" w:sz="1"/>
              <w:right w:val="single" w:color="D0D0D0" w:sz="1"/>
            </w:tcBorders>
            <w:shd w:fill="E8F5E9" w:val="clear"/>
            <w:tcMar>
              <w:top w:type="dxa" w:w="80"/>
              <w:left w:type="dxa" w:w="120"/>
              <w:bottom w:type="dxa" w:w="80"/>
              <w:right w:type="dxa" w:w="120"/>
            </w:tcMar>
          </w:tcPr>
          <w:p>
            <w:r>
              <w:rPr>
                <w:rFonts w:ascii="Arial" w:cs="Arial" w:eastAsia="Arial" w:hAnsi="Arial"/>
                <w:color w:val="2E7D32"/>
                <w:sz w:val="18"/>
                <w:szCs w:val="18"/>
              </w:rPr>
              <w:t xml:space="preserve">Addressed in Cat. 13 &amp; 17</w:t>
            </w:r>
          </w:p>
        </w:tc>
      </w:tr>
      <w:tr>
        <w:tc>
          <w:tcPr>
            <w:tcW w:type="dxa" w:w="320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Regulatory permits / enforcement</w:t>
            </w:r>
          </w:p>
        </w:tc>
        <w:tc>
          <w:tcPr>
            <w:tcW w:type="dxa" w:w="4238"/>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No Environmental Permit (air emissions) held or required. No regulatory notices or enforcement actions relating to air quality have been received.</w:t>
            </w:r>
          </w:p>
        </w:tc>
        <w:tc>
          <w:tcPr>
            <w:tcW w:type="dxa" w:w="2200"/>
            <w:tcBorders>
              <w:top w:val="single" w:color="D0D0D0" w:sz="1"/>
              <w:left w:val="single" w:color="D0D0D0" w:sz="1"/>
              <w:bottom w:val="single" w:color="D0D0D0" w:sz="1"/>
              <w:right w:val="single" w:color="D0D0D0" w:sz="1"/>
            </w:tcBorders>
            <w:shd w:fill="E8F5E9" w:val="clear"/>
            <w:tcMar>
              <w:top w:type="dxa" w:w="80"/>
              <w:left w:type="dxa" w:w="120"/>
              <w:bottom w:type="dxa" w:w="80"/>
              <w:right w:type="dxa" w:w="120"/>
            </w:tcMar>
          </w:tcPr>
          <w:p>
            <w:r>
              <w:rPr>
                <w:rFonts w:ascii="Arial" w:cs="Arial" w:eastAsia="Arial" w:hAnsi="Arial"/>
                <w:color w:val="2E7D32"/>
                <w:sz w:val="18"/>
                <w:szCs w:val="18"/>
              </w:rPr>
              <w:t xml:space="preserve">No issues</w:t>
            </w:r>
          </w:p>
        </w:tc>
      </w:tr>
      <w:tr>
        <w:tc>
          <w:tcPr>
            <w:tcW w:type="dxa" w:w="320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Previous accreditation</w:t>
            </w:r>
          </w:p>
        </w:tc>
        <w:tc>
          <w:tcPr>
            <w:tcW w:type="dxa" w:w="4238"/>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Category 16 was assessed and confirmed as not materially applicable during the FIA 2-Star accreditation process; no auditor observations raised</w:t>
            </w:r>
          </w:p>
        </w:tc>
        <w:tc>
          <w:tcPr>
            <w:tcW w:type="dxa" w:w="2200"/>
            <w:tcBorders>
              <w:top w:val="single" w:color="D0D0D0" w:sz="1"/>
              <w:left w:val="single" w:color="D0D0D0" w:sz="1"/>
              <w:bottom w:val="single" w:color="D0D0D0" w:sz="1"/>
              <w:right w:val="single" w:color="D0D0D0" w:sz="1"/>
            </w:tcBorders>
            <w:shd w:fill="E8F5E9" w:val="clear"/>
            <w:tcMar>
              <w:top w:type="dxa" w:w="80"/>
              <w:left w:type="dxa" w:w="120"/>
              <w:bottom w:type="dxa" w:w="80"/>
              <w:right w:type="dxa" w:w="120"/>
            </w:tcMar>
          </w:tcPr>
          <w:p>
            <w:r>
              <w:rPr>
                <w:rFonts w:ascii="Arial" w:cs="Arial" w:eastAsia="Arial" w:hAnsi="Arial"/>
                <w:color w:val="2E7D32"/>
                <w:sz w:val="18"/>
                <w:szCs w:val="18"/>
              </w:rPr>
              <w:t xml:space="preserve">Precedent</w:t>
            </w:r>
          </w:p>
        </w:tc>
      </w:tr>
    </w:tbl>
    <w:p>
      <w:pPr>
        <w:spacing w:after="80" w:before="80"/>
      </w:pPr>
      <w:r>
        <w:t xml:space="preserve"/>
      </w:r>
    </w:p>
    <w:p>
      <w:pPr>
        <w:spacing w:after="80" w:before="240"/>
      </w:pPr>
      <w:r>
        <w:rPr>
          <w:rFonts w:ascii="Arial" w:cs="Arial" w:eastAsia="Arial" w:hAnsi="Arial"/>
          <w:b/>
          <w:bCs/>
          <w:color w:val="222222"/>
          <w:sz w:val="22"/>
          <w:szCs w:val="22"/>
        </w:rPr>
        <w:t xml:space="preserve">Conclusion — Category 16 (Air Quality)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0D0" w:sz="1"/>
              <w:left w:val="single" w:color="D0D0D0" w:sz="1"/>
              <w:bottom w:val="single" w:color="D0D0D0" w:sz="1"/>
              <w:right w:val="single" w:color="D0D0D0" w:sz="1"/>
            </w:tcBorders>
            <w:shd w:fill="F5F5F5" w:val="clear"/>
            <w:tcMar>
              <w:top w:type="dxa" w:w="100"/>
              <w:left w:type="dxa" w:w="180"/>
              <w:bottom w:type="dxa" w:w="100"/>
              <w:right w:type="dxa" w:w="180"/>
            </w:tcMar>
          </w:tcPr>
          <w:p>
            <w:r>
              <w:rPr>
                <w:rFonts w:ascii="Arial" w:cs="Arial" w:eastAsia="Arial" w:hAnsi="Arial"/>
                <w:i/>
                <w:iCs/>
                <w:sz w:val="20"/>
                <w:szCs w:val="20"/>
              </w:rPr>
              <w:t xml:space="preserve">Category 16 is assessed as NOT MATERIALLY APPLICABLE as a standalone impact area for Cadillac Hertz Team JOTA. The facility is not located in an AQMA, no continuous industrial combustion occurs, workplace fume is controlled under existing COSHH/health and safety requirements, and there have been no regulatory issues or complaints. Combustion-related emissions from transport and fuel are fully captured and managed under Categories 13 and 17. This position is consistent with the 2-Star accreditation assessment and will be reviewed if activities change materially.</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10600" w:val="clear"/>
            <w:tcMar>
              <w:top w:type="dxa" w:w="120"/>
              <w:left w:type="dxa" w:w="200"/>
              <w:bottom w:type="dxa" w:w="120"/>
              <w:right w:type="dxa" w:w="120"/>
            </w:tcMar>
          </w:tcPr>
          <w:p>
            <w:r>
              <w:rPr>
                <w:rFonts w:ascii="Arial" w:cs="Arial" w:eastAsia="Arial" w:hAnsi="Arial"/>
                <w:b/>
                <w:bCs/>
                <w:color w:val="FFFFFF"/>
                <w:sz w:val="24"/>
                <w:szCs w:val="24"/>
              </w:rPr>
              <w:t xml:space="preserve">CATEGORY 3 — ENVIRONMENTAL FEEDBACK MECHANISM</w:t>
            </w:r>
          </w:p>
        </w:tc>
      </w:tr>
    </w:tbl>
    <w:p>
      <w:pPr>
        <w:spacing w:after="80" w:before="80"/>
      </w:pPr>
      <w:r>
        <w:t xml:space="preserve"/>
      </w:r>
    </w:p>
    <w:p>
      <w:pPr>
        <w:pBdr>
          <w:bottom w:val="single" w:color="E10600" w:sz="4"/>
        </w:pBdr>
        <w:spacing w:after="100" w:before="320"/>
      </w:pPr>
      <w:r>
        <w:rPr>
          <w:rFonts w:ascii="Arial" w:cs="Arial" w:eastAsia="Arial" w:hAnsi="Arial"/>
          <w:b/>
          <w:bCs/>
          <w:color w:val="222222"/>
          <w:sz w:val="26"/>
          <w:szCs w:val="26"/>
        </w:rPr>
        <w:t xml:space="preserve">5.  Environmental Feedback Mechanism — Evidence and Log</w:t>
      </w:r>
    </w:p>
    <w:p>
      <w:pPr>
        <w:spacing w:after="80" w:before="240"/>
      </w:pPr>
      <w:r>
        <w:rPr>
          <w:rFonts w:ascii="Arial" w:cs="Arial" w:eastAsia="Arial" w:hAnsi="Arial"/>
          <w:b/>
          <w:bCs/>
          <w:color w:val="222222"/>
          <w:sz w:val="22"/>
          <w:szCs w:val="22"/>
        </w:rPr>
        <w:t xml:space="preserve">FIA 3-Star Requirement (Category 3)</w:t>
      </w:r>
    </w:p>
    <w:p>
      <w:pPr>
        <w:spacing w:after="80" w:before="80"/>
      </w:pPr>
      <w:r>
        <w:rPr>
          <w:rFonts w:ascii="Arial" w:cs="Arial" w:eastAsia="Arial" w:hAnsi="Arial"/>
          <w:sz w:val="20"/>
          <w:szCs w:val="20"/>
        </w:rPr>
        <w:t xml:space="preserve">FIA 3-Star Category 3 requires: “A feedback process is established where those working for, or on behalf of, the organisation, can make suggestions on environmental improvements.”</w:t>
      </w:r>
    </w:p>
    <w:p>
      <w:pPr>
        <w:spacing w:after="80" w:before="240"/>
      </w:pPr>
      <w:r>
        <w:rPr>
          <w:rFonts w:ascii="Arial" w:cs="Arial" w:eastAsia="Arial" w:hAnsi="Arial"/>
          <w:b/>
          <w:bCs/>
          <w:color w:val="222222"/>
          <w:sz w:val="22"/>
          <w:szCs w:val="22"/>
        </w:rPr>
        <w:t xml:space="preserve">How JOTA Meets This Requirement</w:t>
      </w:r>
    </w:p>
    <w:p>
      <w:pPr>
        <w:spacing w:after="80" w:before="80"/>
      </w:pPr>
      <w:r>
        <w:rPr>
          <w:rFonts w:ascii="Arial" w:cs="Arial" w:eastAsia="Arial" w:hAnsi="Arial"/>
          <w:sz w:val="20"/>
          <w:szCs w:val="20"/>
        </w:rPr>
        <w:t xml:space="preserve">The environmental feedback mechanism for Cadillac Hertz Team JOTA operates as follows:</w:t>
      </w:r>
    </w:p>
    <w:p>
      <w:pPr>
        <w:pStyle w:val="ListParagraph"/>
        <w:numPr>
          <w:ilvl w:val="0"/>
          <w:numId w:val="2"/>
        </w:numPr>
        <w:spacing w:after="40" w:before="40"/>
      </w:pPr>
      <w:r>
        <w:rPr>
          <w:rFonts w:ascii="Arial" w:cs="Arial" w:eastAsia="Arial" w:hAnsi="Arial"/>
          <w:sz w:val="20"/>
          <w:szCs w:val="20"/>
        </w:rPr>
        <w:t xml:space="preserve">All staff were informed of the mechanism via the Environmental Awareness Email issued 26 March 2026 (document: ‘Environmental Awareness Email (Tim Rocker).docx’)</w:t>
      </w:r>
    </w:p>
    <w:p>
      <w:pPr>
        <w:pStyle w:val="ListParagraph"/>
        <w:numPr>
          <w:ilvl w:val="0"/>
          <w:numId w:val="2"/>
        </w:numPr>
        <w:spacing w:after="40" w:before="40"/>
      </w:pPr>
      <w:r>
        <w:rPr>
          <w:rFonts w:ascii="Arial" w:cs="Arial" w:eastAsia="Arial" w:hAnsi="Arial"/>
          <w:sz w:val="20"/>
          <w:szCs w:val="20"/>
        </w:rPr>
        <w:t xml:space="preserve">The email explicitly directed all team members to contact Tim Rocker (Environmental Champion) or Leon Price with any environmental concerns, questions, or improvement suggestions</w:t>
      </w:r>
    </w:p>
    <w:p>
      <w:pPr>
        <w:pStyle w:val="ListParagraph"/>
        <w:numPr>
          <w:ilvl w:val="0"/>
          <w:numId w:val="2"/>
        </w:numPr>
        <w:spacing w:after="40" w:before="40"/>
      </w:pPr>
      <w:r>
        <w:rPr>
          <w:rFonts w:ascii="Arial" w:cs="Arial" w:eastAsia="Arial" w:hAnsi="Arial"/>
          <w:sz w:val="20"/>
          <w:szCs w:val="20"/>
        </w:rPr>
        <w:t xml:space="preserve">All 18 staff confirmed receipt and understanding of this email by 31 March 2026 (evidenced in the Environmental Awareness Email Log)</w:t>
      </w:r>
    </w:p>
    <w:p>
      <w:pPr>
        <w:pStyle w:val="ListParagraph"/>
        <w:numPr>
          <w:ilvl w:val="0"/>
          <w:numId w:val="2"/>
        </w:numPr>
        <w:spacing w:after="40" w:before="40"/>
      </w:pPr>
      <w:r>
        <w:rPr>
          <w:rFonts w:ascii="Arial" w:cs="Arial" w:eastAsia="Arial" w:hAnsi="Arial"/>
          <w:sz w:val="20"/>
          <w:szCs w:val="20"/>
        </w:rPr>
        <w:t xml:space="preserve">The mechanism is open to permanent staff, contractors, and any persons working on behalf of the organisation</w:t>
      </w:r>
    </w:p>
    <w:p>
      <w:pPr>
        <w:pStyle w:val="ListParagraph"/>
        <w:numPr>
          <w:ilvl w:val="0"/>
          <w:numId w:val="2"/>
        </w:numPr>
        <w:spacing w:after="40" w:before="40"/>
      </w:pPr>
      <w:r>
        <w:rPr>
          <w:rFonts w:ascii="Arial" w:cs="Arial" w:eastAsia="Arial" w:hAnsi="Arial"/>
          <w:sz w:val="20"/>
          <w:szCs w:val="20"/>
        </w:rPr>
        <w:t xml:space="preserve">All suggestions received are to be logged in the register below, reviewed by the Environmental Champion, and actioned or responded to within 14 days</w:t>
      </w:r>
    </w:p>
    <w:p>
      <w:pPr>
        <w:spacing w:after="80" w:before="80"/>
      </w:pPr>
      <w:r>
        <w:t xml:space="preserve"/>
      </w:r>
    </w:p>
    <w:p>
      <w:pPr>
        <w:spacing w:after="120" w:before="0"/>
      </w:pPr>
      <w:r>
        <w:rPr>
          <w:rFonts w:ascii="Arial" w:cs="Arial" w:eastAsia="Arial" w:hAnsi="Arial"/>
          <w:sz w:val="20"/>
          <w:szCs w:val="20"/>
        </w:rPr>
        <w:t xml:space="preserve">This log is to be maintained by Tim Rocker and reviewed at each Management Review.</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0"/>
        <w:gridCol w:w="780"/>
        <w:gridCol w:w="1020"/>
        <w:gridCol w:w="900"/>
        <w:gridCol w:w="2058"/>
        <w:gridCol w:w="2000"/>
        <w:gridCol w:w="900"/>
        <w:gridCol w:w="1500"/>
      </w:tblGrid>
      <w:tr>
        <w:tc>
          <w:tcPr>
            <w:tcBorders>
              <w:top w:val="single" w:color="D0D0D0" w:sz="1"/>
              <w:left w:val="single" w:color="D0D0D0" w:sz="1"/>
              <w:bottom w:val="single" w:color="D0D0D0" w:sz="1"/>
              <w:right w:val="single" w:color="D0D0D0" w:sz="1"/>
            </w:tcBorders>
            <w:shd w:fill="222222" w:val="clear"/>
            <w:tcMar>
              <w:top w:type="dxa" w:w="80"/>
              <w:left w:type="dxa" w:w="100"/>
              <w:bottom w:type="dxa" w:w="80"/>
              <w:right w:type="dxa" w:w="100"/>
            </w:tcMar>
            <w:vAlign w:val="center"/>
          </w:tcPr>
          <w:p>
            <w:r>
              <w:rPr>
                <w:rFonts w:ascii="Arial" w:cs="Arial" w:eastAsia="Arial" w:hAnsi="Arial"/>
                <w:b/>
                <w:bCs/>
                <w:color w:val="FFFFFF"/>
                <w:sz w:val="16"/>
                <w:szCs w:val="16"/>
              </w:rPr>
              <w:t xml:space="preserve">Ref.</w:t>
            </w:r>
          </w:p>
        </w:tc>
        <w:tc>
          <w:tcPr>
            <w:tcBorders>
              <w:top w:val="single" w:color="D0D0D0" w:sz="1"/>
              <w:left w:val="single" w:color="D0D0D0" w:sz="1"/>
              <w:bottom w:val="single" w:color="D0D0D0" w:sz="1"/>
              <w:right w:val="single" w:color="D0D0D0" w:sz="1"/>
            </w:tcBorders>
            <w:shd w:fill="222222" w:val="clear"/>
            <w:tcMar>
              <w:top w:type="dxa" w:w="80"/>
              <w:left w:type="dxa" w:w="100"/>
              <w:bottom w:type="dxa" w:w="80"/>
              <w:right w:type="dxa" w:w="100"/>
            </w:tcMar>
            <w:vAlign w:val="center"/>
          </w:tcPr>
          <w:p>
            <w:r>
              <w:rPr>
                <w:rFonts w:ascii="Arial" w:cs="Arial" w:eastAsia="Arial" w:hAnsi="Arial"/>
                <w:b/>
                <w:bCs/>
                <w:color w:val="FFFFFF"/>
                <w:sz w:val="16"/>
                <w:szCs w:val="16"/>
              </w:rPr>
              <w:t xml:space="preserve">Date</w:t>
            </w:r>
          </w:p>
        </w:tc>
        <w:tc>
          <w:tcPr>
            <w:tcBorders>
              <w:top w:val="single" w:color="D0D0D0" w:sz="1"/>
              <w:left w:val="single" w:color="D0D0D0" w:sz="1"/>
              <w:bottom w:val="single" w:color="D0D0D0" w:sz="1"/>
              <w:right w:val="single" w:color="D0D0D0" w:sz="1"/>
            </w:tcBorders>
            <w:shd w:fill="222222" w:val="clear"/>
            <w:tcMar>
              <w:top w:type="dxa" w:w="80"/>
              <w:left w:type="dxa" w:w="100"/>
              <w:bottom w:type="dxa" w:w="80"/>
              <w:right w:type="dxa" w:w="100"/>
            </w:tcMar>
            <w:vAlign w:val="center"/>
          </w:tcPr>
          <w:p>
            <w:r>
              <w:rPr>
                <w:rFonts w:ascii="Arial" w:cs="Arial" w:eastAsia="Arial" w:hAnsi="Arial"/>
                <w:b/>
                <w:bCs/>
                <w:color w:val="FFFFFF"/>
                <w:sz w:val="16"/>
                <w:szCs w:val="16"/>
              </w:rPr>
              <w:t xml:space="preserve">Submitted By</w:t>
            </w:r>
          </w:p>
        </w:tc>
        <w:tc>
          <w:tcPr>
            <w:tcBorders>
              <w:top w:val="single" w:color="D0D0D0" w:sz="1"/>
              <w:left w:val="single" w:color="D0D0D0" w:sz="1"/>
              <w:bottom w:val="single" w:color="D0D0D0" w:sz="1"/>
              <w:right w:val="single" w:color="D0D0D0" w:sz="1"/>
            </w:tcBorders>
            <w:shd w:fill="222222" w:val="clear"/>
            <w:tcMar>
              <w:top w:type="dxa" w:w="80"/>
              <w:left w:type="dxa" w:w="100"/>
              <w:bottom w:type="dxa" w:w="80"/>
              <w:right w:type="dxa" w:w="100"/>
            </w:tcMar>
            <w:vAlign w:val="center"/>
          </w:tcPr>
          <w:p>
            <w:r>
              <w:rPr>
                <w:rFonts w:ascii="Arial" w:cs="Arial" w:eastAsia="Arial" w:hAnsi="Arial"/>
                <w:b/>
                <w:bCs/>
                <w:color w:val="FFFFFF"/>
                <w:sz w:val="16"/>
                <w:szCs w:val="16"/>
              </w:rPr>
              <w:t xml:space="preserve">Method</w:t>
            </w:r>
          </w:p>
        </w:tc>
        <w:tc>
          <w:tcPr>
            <w:tcBorders>
              <w:top w:val="single" w:color="D0D0D0" w:sz="1"/>
              <w:left w:val="single" w:color="D0D0D0" w:sz="1"/>
              <w:bottom w:val="single" w:color="D0D0D0" w:sz="1"/>
              <w:right w:val="single" w:color="D0D0D0" w:sz="1"/>
            </w:tcBorders>
            <w:shd w:fill="222222" w:val="clear"/>
            <w:tcMar>
              <w:top w:type="dxa" w:w="80"/>
              <w:left w:type="dxa" w:w="100"/>
              <w:bottom w:type="dxa" w:w="80"/>
              <w:right w:type="dxa" w:w="100"/>
            </w:tcMar>
            <w:vAlign w:val="center"/>
          </w:tcPr>
          <w:p>
            <w:r>
              <w:rPr>
                <w:rFonts w:ascii="Arial" w:cs="Arial" w:eastAsia="Arial" w:hAnsi="Arial"/>
                <w:b/>
                <w:bCs/>
                <w:color w:val="FFFFFF"/>
                <w:sz w:val="16"/>
                <w:szCs w:val="16"/>
              </w:rPr>
              <w:t xml:space="preserve">Suggestion / Concern</w:t>
            </w:r>
          </w:p>
        </w:tc>
        <w:tc>
          <w:tcPr>
            <w:tcBorders>
              <w:top w:val="single" w:color="D0D0D0" w:sz="1"/>
              <w:left w:val="single" w:color="D0D0D0" w:sz="1"/>
              <w:bottom w:val="single" w:color="D0D0D0" w:sz="1"/>
              <w:right w:val="single" w:color="D0D0D0" w:sz="1"/>
            </w:tcBorders>
            <w:shd w:fill="222222" w:val="clear"/>
            <w:tcMar>
              <w:top w:type="dxa" w:w="80"/>
              <w:left w:type="dxa" w:w="100"/>
              <w:bottom w:type="dxa" w:w="80"/>
              <w:right w:type="dxa" w:w="100"/>
            </w:tcMar>
            <w:vAlign w:val="center"/>
          </w:tcPr>
          <w:p>
            <w:r>
              <w:rPr>
                <w:rFonts w:ascii="Arial" w:cs="Arial" w:eastAsia="Arial" w:hAnsi="Arial"/>
                <w:b/>
                <w:bCs/>
                <w:color w:val="FFFFFF"/>
                <w:sz w:val="16"/>
                <w:szCs w:val="16"/>
              </w:rPr>
              <w:t xml:space="preserve">Action Taken / Response</w:t>
            </w:r>
          </w:p>
        </w:tc>
        <w:tc>
          <w:tcPr>
            <w:tcBorders>
              <w:top w:val="single" w:color="D0D0D0" w:sz="1"/>
              <w:left w:val="single" w:color="D0D0D0" w:sz="1"/>
              <w:bottom w:val="single" w:color="D0D0D0" w:sz="1"/>
              <w:right w:val="single" w:color="D0D0D0" w:sz="1"/>
            </w:tcBorders>
            <w:shd w:fill="222222" w:val="clear"/>
            <w:tcMar>
              <w:top w:type="dxa" w:w="80"/>
              <w:left w:type="dxa" w:w="100"/>
              <w:bottom w:type="dxa" w:w="80"/>
              <w:right w:type="dxa" w:w="100"/>
            </w:tcMar>
            <w:vAlign w:val="center"/>
          </w:tcPr>
          <w:p>
            <w:r>
              <w:rPr>
                <w:rFonts w:ascii="Arial" w:cs="Arial" w:eastAsia="Arial" w:hAnsi="Arial"/>
                <w:b/>
                <w:bCs/>
                <w:color w:val="FFFFFF"/>
                <w:sz w:val="16"/>
                <w:szCs w:val="16"/>
              </w:rPr>
              <w:t xml:space="preserve">Status</w:t>
            </w:r>
          </w:p>
        </w:tc>
        <w:tc>
          <w:tcPr>
            <w:tcBorders>
              <w:top w:val="single" w:color="D0D0D0" w:sz="1"/>
              <w:left w:val="single" w:color="D0D0D0" w:sz="1"/>
              <w:bottom w:val="single" w:color="D0D0D0" w:sz="1"/>
              <w:right w:val="single" w:color="D0D0D0" w:sz="1"/>
            </w:tcBorders>
            <w:shd w:fill="222222" w:val="clear"/>
            <w:tcMar>
              <w:top w:type="dxa" w:w="80"/>
              <w:left w:type="dxa" w:w="100"/>
              <w:bottom w:type="dxa" w:w="80"/>
              <w:right w:type="dxa" w:w="100"/>
            </w:tcMar>
            <w:vAlign w:val="center"/>
          </w:tcPr>
          <w:p>
            <w:r>
              <w:rPr>
                <w:rFonts w:ascii="Arial" w:cs="Arial" w:eastAsia="Arial" w:hAnsi="Arial"/>
                <w:b/>
                <w:bCs/>
                <w:color w:val="FFFFFF"/>
                <w:sz w:val="16"/>
                <w:szCs w:val="16"/>
              </w:rPr>
              <w:t xml:space="preserve">Date Closed</w:t>
            </w:r>
          </w:p>
        </w:tc>
      </w:tr>
      <w:tr>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001</w:t>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26 Mar 2026</w:t>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Jacob Garland</w:t>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Email reply</w:t>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Confirmed understanding of policy; no suggestion raised</w:t>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Noted and logged</w:t>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Closed</w:t>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31 Mar 2026</w:t>
            </w:r>
          </w:p>
        </w:tc>
      </w:tr>
      <w:tr>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r>
      <w:tr>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r>
      <w:tr>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r>
      <w:tr>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c>
          <w:tcPr>
            <w:tcBorders>
              <w:top w:val="single" w:color="D0D0D0" w:sz="1"/>
              <w:left w:val="single" w:color="D0D0D0" w:sz="1"/>
              <w:bottom w:val="single" w:color="D0D0D0" w:sz="1"/>
              <w:right w:val="single" w:color="D0D0D0" w:sz="1"/>
            </w:tcBorders>
            <w:shd w:fill="FFFFFF" w:val="clear"/>
            <w:tcMar>
              <w:top w:type="dxa" w:w="60"/>
              <w:left w:type="dxa" w:w="100"/>
              <w:bottom w:type="dxa" w:w="60"/>
              <w:right w:type="dxa" w:w="100"/>
            </w:tcMar>
          </w:tcPr>
          <w:p>
            <w:r>
              <w:rPr>
                <w:rFonts w:ascii="Arial" w:cs="Arial" w:eastAsia="Arial" w:hAnsi="Arial"/>
                <w:sz w:val="16"/>
                <w:szCs w:val="16"/>
              </w:rPr>
              <w:t xml:space="preserve"/>
            </w:r>
          </w:p>
        </w:tc>
      </w:tr>
    </w:tbl>
    <w:p>
      <w:pPr>
        <w:spacing w:after="80" w:before="80"/>
      </w:pPr>
      <w:r>
        <w:t xml:space="preserve"/>
      </w:r>
    </w:p>
    <w:p>
      <w:pPr>
        <w:spacing w:after="80" w:before="0"/>
      </w:pPr>
      <w:r>
        <w:rPr>
          <w:rFonts w:ascii="Arial" w:cs="Arial" w:eastAsia="Arial" w:hAnsi="Arial"/>
          <w:sz w:val="20"/>
          <w:szCs w:val="20"/>
        </w:rPr>
        <w:t xml:space="preserve">Note: Where no suggestions have been received in a given period, this should be recorded in the Management Review as confirmation that the mechanism is in place and operational.</w:t>
      </w:r>
    </w:p>
    <w:p>
      <w:pPr>
        <w:spacing w:after="80" w:before="80"/>
      </w:pPr>
      <w:r>
        <w:t xml:space="preserve"/>
      </w:r>
    </w:p>
    <w:p>
      <w:pPr>
        <w:pBdr>
          <w:bottom w:val="single" w:color="E10600" w:sz="4"/>
        </w:pBdr>
        <w:spacing w:after="100" w:before="320"/>
      </w:pPr>
      <w:r>
        <w:rPr>
          <w:rFonts w:ascii="Arial" w:cs="Arial" w:eastAsia="Arial" w:hAnsi="Arial"/>
          <w:b/>
          <w:bCs/>
          <w:color w:val="222222"/>
          <w:sz w:val="26"/>
          <w:szCs w:val="26"/>
        </w:rPr>
        <w:t xml:space="preserve">6.  Review and Sign-Off</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Prepared by</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Tim Rocker, Environmental Champion</w:t>
            </w:r>
          </w:p>
        </w:tc>
      </w:tr>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Date prepared</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31 March 2026</w:t>
            </w:r>
          </w:p>
        </w:tc>
      </w:tr>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Review date</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March 2028 (or earlier if material change)</w:t>
            </w:r>
          </w:p>
        </w:tc>
      </w:tr>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Approved by</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Sam Hignett, Director</w:t>
            </w:r>
          </w:p>
        </w:tc>
      </w:tr>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Approval date</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2400"/>
            <w:tcBorders>
              <w:top w:val="single" w:color="D0D0D0" w:sz="1"/>
              <w:left w:val="single" w:color="D0D0D0" w:sz="1"/>
              <w:bottom w:val="single" w:color="D0D0D0" w:sz="1"/>
              <w:right w:val="single" w:color="D0D0D0" w:sz="1"/>
            </w:tcBorders>
            <w:shd w:fill="F5F5F5" w:val="clear"/>
            <w:tcMar>
              <w:top w:type="dxa" w:w="80"/>
              <w:left w:type="dxa" w:w="120"/>
              <w:bottom w:type="dxa" w:w="80"/>
              <w:right w:type="dxa" w:w="120"/>
            </w:tcMar>
          </w:tcPr>
          <w:p>
            <w:r>
              <w:rPr>
                <w:rFonts w:ascii="Arial" w:cs="Arial" w:eastAsia="Arial" w:hAnsi="Arial"/>
                <w:b/>
                <w:bCs/>
                <w:sz w:val="18"/>
                <w:szCs w:val="18"/>
              </w:rPr>
              <w:t xml:space="preserve">Signature</w:t>
            </w:r>
          </w:p>
        </w:tc>
        <w:tc>
          <w:tcPr>
            <w:tcW w:type="dxa" w:w="6960"/>
            <w:tcBorders>
              <w:top w:val="single" w:color="D0D0D0" w:sz="1"/>
              <w:left w:val="single" w:color="D0D0D0" w:sz="1"/>
              <w:bottom w:val="single" w:color="D0D0D0" w:sz="1"/>
              <w:right w:val="single" w:color="D0D0D0" w:sz="1"/>
            </w:tcBorders>
            <w:tcMar>
              <w:top w:type="dxa" w:w="80"/>
              <w:left w:type="dxa" w:w="120"/>
              <w:bottom w:type="dxa" w:w="80"/>
              <w:right w:type="dxa" w:w="120"/>
            </w:tcMar>
          </w:tcPr>
          <w:p>
            <w:r>
              <w:rPr>
                <w:rFonts w:ascii="Arial" w:cs="Arial" w:eastAsia="Arial" w:hAnsi="Arial"/>
                <w:sz w:val="18"/>
                <w:szCs w:val="18"/>
              </w:rPr>
              <w:t xml:space="preserve"/>
            </w:r>
          </w:p>
        </w:tc>
      </w:tr>
    </w:tbl>
    <w:p>
      <w:pPr>
        <w:spacing w:after="80" w:before="80"/>
      </w:pPr>
      <w:r>
        <w:t xml:space="preserve"/>
      </w:r>
    </w:p>
    <w:p>
      <w:pPr>
        <w:spacing w:after="40" w:before="80"/>
      </w:pPr>
      <w:r>
        <w:rPr>
          <w:rFonts w:ascii="Arial" w:cs="Arial" w:eastAsia="Arial" w:hAnsi="Arial"/>
          <w:sz w:val="20"/>
          <w:szCs w:val="20"/>
        </w:rPr>
        <w:t xml:space="preserve">This document forms part of the FIA 3-Star Environmental Accreditation evidence pack for Cadillac Hertz Team JOTA.</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0D0" w:sz="2"/>
      </w:pBdr>
      <w:spacing w:before="80"/>
    </w:pPr>
    <w:r>
      <w:rPr>
        <w:rFonts w:ascii="Arial" w:cs="Arial" w:eastAsia="Arial" w:hAnsi="Arial"/>
        <w:color w:val="888888"/>
        <w:sz w:val="16"/>
        <w:szCs w:val="16"/>
      </w:rPr>
      <w:t xml:space="preserve">Environmental Scope Assessment  |  Cadillac Hertz Team JOTA  |  March 2026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638"/>
      <w:gridCol w:w="2000"/>
    </w:tblGrid>
    <w:tr>
      <w:tc>
        <w:tcPr>
          <w:tcW w:type="dxa" w:w="7638"/>
          <w:tcBorders>
            <w:top w:val="none" w:color="FFFFFF" w:sz="0"/>
            <w:left w:val="none" w:color="FFFFFF" w:sz="0"/>
            <w:bottom w:val="none" w:color="FFFFFF" w:sz="0"/>
            <w:right w:val="none" w:color="FFFFFF" w:sz="0"/>
          </w:tcBorders>
          <w:tcMar>
            <w:top w:type="dxa" w:w="40"/>
            <w:left w:type="dxa" w:w="0"/>
            <w:bottom w:type="dxa" w:w="40"/>
            <w:right w:type="dxa" w:w="0"/>
          </w:tcMar>
          <w:vAlign w:val="center"/>
        </w:tcPr>
        <w:p>
          <w:r>
            <w:rPr>
              <w:rFonts w:ascii="Arial" w:cs="Arial" w:eastAsia="Arial" w:hAnsi="Arial"/>
              <w:color w:val="888888"/>
              <w:sz w:val="16"/>
              <w:szCs w:val="16"/>
            </w:rPr>
            <w:t xml:space="preserve">Cadillac Hertz Team JOTA  |  FIA 3-Star Environmental Accreditation</w:t>
          </w:r>
        </w:p>
      </w:tc>
      <w:tc>
        <w:tcPr>
          <w:tcW w:type="dxa" w:w="2000"/>
          <w:tcBorders>
            <w:top w:val="none" w:color="FFFFFF" w:sz="0"/>
            <w:left w:val="none" w:color="FFFFFF" w:sz="0"/>
            <w:bottom w:val="single" w:color="E10600" w:sz="2"/>
            <w:right w:val="none" w:color="FFFFFF" w:sz="0"/>
          </w:tcBorders>
          <w:tcMar>
            <w:top w:type="dxa" w:w="40"/>
            <w:left w:type="dxa" w:w="0"/>
            <w:bottom w:type="dxa" w:w="40"/>
            <w:right w:type="dxa" w:w="0"/>
          </w:tcMar>
          <w:vAlign w:val="center"/>
        </w:tcPr>
        <w:p>
          <w:pPr>
            <w:jc w:val="right"/>
          </w:pPr>
          <w:r>
            <w:rPr>
              <w:rFonts w:ascii="Arial" w:cs="Arial" w:eastAsia="Arial" w:hAnsi="Arial"/>
              <w:b/>
              <w:bCs/>
              <w:color w:val="E10600"/>
              <w:sz w:val="16"/>
              <w:szCs w:val="16"/>
            </w:rPr>
            <w:t xml:space="preserve">SCOPE ASSESSMENT</w:t>
          </w:r>
        </w:p>
      </w:tc>
    </w:tr>
  </w:tbl>
  <w:p>
    <w:pP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2026-03-31T16:07:58.539Z</dcterms:created>
  <dcterms:modified xsi:type="dcterms:W3CDTF">2026-03-31T16:07:58.539Z</dcterms:modified>
</cp:coreProperties>
</file>

<file path=docProps/custom.xml><?xml version="1.0" encoding="utf-8"?>
<Properties xmlns="http://schemas.openxmlformats.org/officeDocument/2006/custom-properties" xmlns:vt="http://schemas.openxmlformats.org/officeDocument/2006/docPropsVTypes"/>
</file>